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2" w:rsidRDefault="00792641" w:rsidP="00D57465">
      <w:r w:rsidRPr="00792641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-628650</wp:posOffset>
            </wp:positionV>
            <wp:extent cx="2600325" cy="1190625"/>
            <wp:effectExtent l="0" t="0" r="0" b="0"/>
            <wp:wrapSquare wrapText="bothSides"/>
            <wp:docPr id="2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41" w:rsidRDefault="00792641" w:rsidP="00D5746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D57465" w:rsidRPr="00D57465" w:rsidRDefault="00D57465" w:rsidP="00D5746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57465">
        <w:rPr>
          <w:rFonts w:ascii="Bookman Old Style" w:hAnsi="Bookman Old Style"/>
          <w:b/>
          <w:sz w:val="28"/>
          <w:szCs w:val="28"/>
          <w:u w:val="single"/>
        </w:rPr>
        <w:t xml:space="preserve">Adjunctive Oral Cancer </w:t>
      </w:r>
      <w:r w:rsidR="00FC2BAF">
        <w:rPr>
          <w:rFonts w:ascii="Bookman Old Style" w:hAnsi="Bookman Old Style"/>
          <w:b/>
          <w:sz w:val="28"/>
          <w:szCs w:val="28"/>
          <w:u w:val="single"/>
        </w:rPr>
        <w:t>Approval</w:t>
      </w:r>
      <w:r w:rsidRPr="00D57465">
        <w:rPr>
          <w:rFonts w:ascii="Bookman Old Style" w:hAnsi="Bookman Old Style"/>
          <w:b/>
          <w:sz w:val="28"/>
          <w:szCs w:val="28"/>
          <w:u w:val="single"/>
        </w:rPr>
        <w:t xml:space="preserve"> Form</w:t>
      </w:r>
    </w:p>
    <w:p w:rsidR="00D57465" w:rsidRPr="00792641" w:rsidRDefault="005E3DB0" w:rsidP="00D57465">
      <w:pPr>
        <w:rPr>
          <w:rFonts w:ascii="Arial Rounded MT Bold" w:hAnsi="Arial Rounded MT Bold"/>
          <w:sz w:val="24"/>
          <w:szCs w:val="24"/>
        </w:rPr>
      </w:pPr>
      <w:r w:rsidRPr="00792641">
        <w:rPr>
          <w:rFonts w:ascii="Arial Rounded MT Bold" w:hAnsi="Arial Rounded MT Bold"/>
          <w:sz w:val="24"/>
          <w:szCs w:val="24"/>
        </w:rPr>
        <w:t>Our practice continually strives to provide important enhancement</w:t>
      </w:r>
      <w:r w:rsidR="00035B47" w:rsidRPr="00792641">
        <w:rPr>
          <w:rFonts w:ascii="Arial Rounded MT Bold" w:hAnsi="Arial Rounded MT Bold"/>
          <w:sz w:val="24"/>
          <w:szCs w:val="24"/>
        </w:rPr>
        <w:t>s in oral health care for our patients. We are concerned about oral cancer and look for it in all patients.</w:t>
      </w:r>
    </w:p>
    <w:p w:rsidR="00035B47" w:rsidRDefault="00035B47" w:rsidP="00035B47">
      <w:pPr>
        <w:jc w:val="center"/>
        <w:rPr>
          <w:i/>
        </w:rPr>
      </w:pPr>
      <w:r w:rsidRPr="00035B47">
        <w:rPr>
          <w:i/>
        </w:rPr>
        <w:t>One person dies every hour from oral cancer in the United States.</w:t>
      </w:r>
    </w:p>
    <w:p w:rsidR="00035B47" w:rsidRDefault="00FC2BAF" w:rsidP="00035B47">
      <w:pPr>
        <w:rPr>
          <w:b/>
        </w:rPr>
      </w:pPr>
      <w:r w:rsidRPr="00792641">
        <w:rPr>
          <w:b/>
        </w:rPr>
        <w:t xml:space="preserve">Late detection of oral cancer is the primary reason that mortality rates are so dismal. As with most other cancers, age is the primary risk factor for oral cancer. </w:t>
      </w:r>
      <w:r w:rsidR="00BB60FE" w:rsidRPr="00792641">
        <w:rPr>
          <w:b/>
        </w:rPr>
        <w:t>Though tobacco use is a major predisposing risk factor, 25% of oral cancer victims have no lifestyle risk factors.</w:t>
      </w:r>
    </w:p>
    <w:tbl>
      <w:tblPr>
        <w:tblStyle w:val="TableGrid"/>
        <w:tblW w:w="9837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7"/>
      </w:tblGrid>
      <w:tr w:rsidR="00792641" w:rsidTr="003C44E7">
        <w:trPr>
          <w:trHeight w:val="2587"/>
          <w:tblCellSpacing w:w="20" w:type="dxa"/>
        </w:trPr>
        <w:tc>
          <w:tcPr>
            <w:tcW w:w="9757" w:type="dxa"/>
          </w:tcPr>
          <w:p w:rsidR="00792641" w:rsidRDefault="00792641" w:rsidP="00035B47">
            <w:pPr>
              <w:rPr>
                <w:b/>
              </w:rPr>
            </w:pPr>
            <w:r>
              <w:rPr>
                <w:b/>
              </w:rPr>
              <w:t>Oral Cancer Risk Profile</w:t>
            </w:r>
          </w:p>
          <w:p w:rsidR="00792641" w:rsidRDefault="00792641" w:rsidP="00035B47">
            <w:pPr>
              <w:rPr>
                <w:b/>
              </w:rPr>
            </w:pPr>
            <w:r>
              <w:rPr>
                <w:b/>
              </w:rPr>
              <w:t xml:space="preserve">             Increased Risk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1"/>
              </w:numPr>
            </w:pPr>
            <w:r w:rsidRPr="00792641">
              <w:t>Patients age 40 and older( 95% of all cases)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1"/>
              </w:numPr>
            </w:pPr>
            <w:r w:rsidRPr="00792641">
              <w:t>18-39 years of age combined with any of the following: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1"/>
              </w:numPr>
            </w:pPr>
            <w:r w:rsidRPr="00792641">
              <w:t>Tobacco use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1"/>
              </w:numPr>
            </w:pPr>
            <w:r w:rsidRPr="00792641">
              <w:t>Chronic alcohol consumption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1"/>
              </w:numPr>
            </w:pPr>
            <w:r w:rsidRPr="00792641">
              <w:t>Oral HPV Infection</w:t>
            </w:r>
          </w:p>
          <w:p w:rsidR="00792641" w:rsidRDefault="00792641" w:rsidP="00792641">
            <w:pPr>
              <w:ind w:left="825"/>
              <w:rPr>
                <w:b/>
              </w:rPr>
            </w:pPr>
            <w:r>
              <w:rPr>
                <w:b/>
              </w:rPr>
              <w:t>High Risk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2"/>
              </w:numPr>
            </w:pPr>
            <w:r w:rsidRPr="00792641">
              <w:t>Patients age 65 and older with lifestyle risk factors</w:t>
            </w:r>
          </w:p>
          <w:p w:rsidR="00792641" w:rsidRPr="00792641" w:rsidRDefault="00792641" w:rsidP="00792641">
            <w:pPr>
              <w:pStyle w:val="ListParagraph"/>
              <w:numPr>
                <w:ilvl w:val="0"/>
                <w:numId w:val="2"/>
              </w:numPr>
            </w:pPr>
            <w:r w:rsidRPr="00792641">
              <w:t>patients with history of oral cancer</w:t>
            </w:r>
          </w:p>
          <w:p w:rsidR="00792641" w:rsidRPr="00792641" w:rsidRDefault="00792641" w:rsidP="00792641">
            <w:pPr>
              <w:jc w:val="center"/>
            </w:pPr>
            <w:r w:rsidRPr="00792641">
              <w:t>25% of Oral cancers occur in people who don't smoke and have no other risk factors</w:t>
            </w:r>
          </w:p>
          <w:p w:rsidR="00792641" w:rsidRDefault="00792641" w:rsidP="00035B47">
            <w:pPr>
              <w:rPr>
                <w:b/>
              </w:rPr>
            </w:pPr>
          </w:p>
        </w:tc>
      </w:tr>
    </w:tbl>
    <w:p w:rsidR="00792641" w:rsidRPr="00792641" w:rsidRDefault="00792641" w:rsidP="00035B47">
      <w:pPr>
        <w:rPr>
          <w:b/>
        </w:rPr>
      </w:pPr>
    </w:p>
    <w:p w:rsidR="00BB60FE" w:rsidRDefault="00BB60FE" w:rsidP="00035B47">
      <w:r>
        <w:t>Our ability to identify susp</w:t>
      </w:r>
      <w:r w:rsidR="00AE18FD">
        <w:t>icious areas during examination by  e</w:t>
      </w:r>
      <w:r>
        <w:t>arly detection</w:t>
      </w:r>
      <w:r w:rsidR="00AE18FD">
        <w:t xml:space="preserve"> allow us to identify precancerous tissue that can minimize or eliminate the potentially disfiguring effects of oral cancer and possibly save your life. </w:t>
      </w:r>
    </w:p>
    <w:p w:rsidR="00AE18FD" w:rsidRDefault="00AE18FD" w:rsidP="00035B47">
      <w:r>
        <w:t xml:space="preserve">Dental Insurance </w:t>
      </w:r>
      <w:r>
        <w:rPr>
          <w:b/>
        </w:rPr>
        <w:t xml:space="preserve">might not </w:t>
      </w:r>
      <w:r>
        <w:t>cover the adjunctive oral cancer examination. The fee for this examination is $71.00 due today.</w:t>
      </w:r>
    </w:p>
    <w:p w:rsidR="00AE18FD" w:rsidRDefault="00AE18FD" w:rsidP="00035B47">
      <w:r>
        <w:rPr>
          <w:b/>
        </w:rPr>
        <w:t xml:space="preserve">YES. </w:t>
      </w:r>
      <w:r>
        <w:t xml:space="preserve"> I authorize the clinician to perform the adjunctive oral cancer examination. I accept financial responsibility for this examination.</w:t>
      </w:r>
    </w:p>
    <w:p w:rsidR="00AE18FD" w:rsidRDefault="00AE18FD" w:rsidP="00035B47">
      <w:r>
        <w:t>Print Name: ______________________________________________</w:t>
      </w:r>
    </w:p>
    <w:p w:rsidR="00AE18FD" w:rsidRDefault="00AE18FD" w:rsidP="00035B47">
      <w:r>
        <w:t>Signature:________________________________________________    Date: ______________________</w:t>
      </w:r>
    </w:p>
    <w:p w:rsidR="00AE18FD" w:rsidRDefault="00AE18FD" w:rsidP="00035B47">
      <w:pPr>
        <w:rPr>
          <w:b/>
        </w:rPr>
      </w:pPr>
      <w:r>
        <w:rPr>
          <w:b/>
        </w:rPr>
        <w:t xml:space="preserve">NO. </w:t>
      </w:r>
      <w:r w:rsidRPr="00AE18FD">
        <w:t>I would prefer not to have the adjunctive oral cancer examination at this time.</w:t>
      </w:r>
      <w:r>
        <w:rPr>
          <w:b/>
        </w:rPr>
        <w:t xml:space="preserve"> </w:t>
      </w:r>
    </w:p>
    <w:p w:rsidR="00AE18FD" w:rsidRPr="00AE18FD" w:rsidRDefault="00AE18FD" w:rsidP="00035B47">
      <w:r w:rsidRPr="00AE18FD">
        <w:t xml:space="preserve">Print Name: </w:t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</w:r>
      <w:r w:rsidRPr="00AE18FD">
        <w:softHyphen/>
        <w:t>_____________________________________________</w:t>
      </w:r>
    </w:p>
    <w:p w:rsidR="00AE18FD" w:rsidRPr="00AE18FD" w:rsidRDefault="00AE18FD" w:rsidP="00035B47">
      <w:r w:rsidRPr="00AE18FD">
        <w:t>Signature: _______________________________________________     Date: ______________________</w:t>
      </w:r>
    </w:p>
    <w:sectPr w:rsidR="00AE18FD" w:rsidRPr="00AE18FD" w:rsidSect="003C44E7">
      <w:pgSz w:w="12240" w:h="15840"/>
      <w:pgMar w:top="1440" w:right="1440" w:bottom="1440" w:left="1440" w:header="720" w:footer="720" w:gutter="0"/>
      <w:pgBorders w:offsetFrom="page">
        <w:top w:val="threeDEngrave" w:sz="6" w:space="24" w:color="008080"/>
        <w:left w:val="threeDEngrave" w:sz="6" w:space="24" w:color="008080"/>
        <w:bottom w:val="threeDEmboss" w:sz="6" w:space="24" w:color="008080"/>
        <w:right w:val="threeDEmboss" w:sz="6" w:space="24" w:color="0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6E"/>
    <w:multiLevelType w:val="hybridMultilevel"/>
    <w:tmpl w:val="FCF4AAD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79C30741"/>
    <w:multiLevelType w:val="hybridMultilevel"/>
    <w:tmpl w:val="F372174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465"/>
    <w:rsid w:val="0002014B"/>
    <w:rsid w:val="00035B47"/>
    <w:rsid w:val="00121846"/>
    <w:rsid w:val="00213C3C"/>
    <w:rsid w:val="003C44E7"/>
    <w:rsid w:val="005E3DB0"/>
    <w:rsid w:val="00722302"/>
    <w:rsid w:val="00792641"/>
    <w:rsid w:val="00846906"/>
    <w:rsid w:val="00AB2E71"/>
    <w:rsid w:val="00AE18FD"/>
    <w:rsid w:val="00BB60FE"/>
    <w:rsid w:val="00D57465"/>
    <w:rsid w:val="00FC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Garnet Jack</dc:creator>
  <cp:lastModifiedBy>Dr. Garnet Jack</cp:lastModifiedBy>
  <cp:revision>1</cp:revision>
  <dcterms:created xsi:type="dcterms:W3CDTF">2017-04-11T16:26:00Z</dcterms:created>
  <dcterms:modified xsi:type="dcterms:W3CDTF">2017-04-11T19:17:00Z</dcterms:modified>
</cp:coreProperties>
</file>